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249</w:t>
      </w:r>
    </w:p>
    <w:p>
      <w:r>
        <w:t>Bundesgericht (BGE), 2007-06-20, DE</w:t>
      </w:r>
    </w:p>
    <w:p>
      <w:r>
        <w:rPr>
          <w:b/>
        </w:rPr>
        <w:t xml:space="preserve">Quelle: </w:t>
      </w:r>
      <w:r>
        <w:t>https://mcp.opencaselaw.ch/entscheid/bge_133 II 249</w:t>
      </w:r>
    </w:p>
    <w:p>
      <w:r>
        <w:t>FR: ATF 133 II 249</w:t>
      </w:r>
    </w:p>
    <w:p>
      <w:r>
        <w:t>IT: DTF 133 II 249</w:t>
      </w:r>
    </w:p>
    <w:p>
      <w:pPr>
        <w:pStyle w:val="Heading2"/>
      </w:pPr>
      <w:r>
        <w:t>Regeste</w:t>
      </w:r>
    </w:p>
    <w:p>
      <w:r>
        <w:t>Regeste Art. 82 lit. a und Art. 89 Abs. 1 i.V.m. Art. 42, 95-97, 105 f. BGG; Beschwerde in öffentlich-rechtlichen Angelegenheiten; Baubewilligung; Nachbarbeschwerde; Sachurteilsvoraussetzungen (Beschwerdegründe, Legitimation, Beschwerdebegründung). Pflicht des Nachbarn eines Bauprojekts, seine Beschwerdebefugnis darzulegen (E. 1.1). Zulässigkeit der Beschwerde in öffentlich-rechtlichen Angelegenheiten auf dem Gebiet des Raumplanungs- und Baurechts; Übersicht über die möglichen Beschwerdegründe (E. 1.2). Legitimation des Nachbarn zur Anfechtung eines Bauprojekts mit der Beschwerde in öffentlich-rechtlichen Angelegenheiten (E. 1.3.1); Auswirkungen auf die Zulässigkeit von Beschwerdegründen (E. 1.3.2). Prüfungsbefugnis des Bundesgerichts und grundsätzliche Beschränkung auf die Beurteilung der vorgebrachten Rügen (E. 1.4.1). Anforderungen an Verfassungs- und Sachverhaltsrügen (E. 1.4.2 und 1.4.3).</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deshalb das Bundesgerichtsgesetz anwendbar. BGE 133 II 249 S. 251</w:t>
      </w:r>
    </w:p>
    <w:p>
      <w:r>
        <w:rPr>
          <w:b/>
        </w:rPr>
        <w:t>E. 1.1</w:t>
      </w:r>
    </w:p>
    <w:p>
      <w:r>
        <w:t>Das Bundesgericht prüft seine Zuständigkeit von Amtes wegen ( Art. 29 Abs. 1 BGG ). Es untersucht deshalb grundsätzlich von Amtes wegen, ob und inwiefern auf eine Beschwerde eingetreten werden kann. Immerhin ist die Beschwerde gemäss Art. 42 Abs. 1 und Abs. 2 BGG hinreichend zu begründen. Liegt - wie hier - eine baurechtliche Nachbarbeschwerde vor, so hat die Begründungspflicht auch eine besondere Bedeutung für die Beschwerdebefugnis.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als Beschwerdeführer auftretende Private zur Beschwerde zuzulassen ist. Vorliegend erfolgt in der Beschwerdeschrift eine hinreichende Auseinandersetzung mit den Sachurteilsvoraussetzungen.</w:t>
      </w:r>
    </w:p>
    <w:p>
      <w:r>
        <w:rPr>
          <w:b/>
        </w:rPr>
        <w:t>E. 1.2</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des Bundesgesetzes über die Raumplanung (RPG; SR 700) in der Fassung nach Ziff. 64 des Anhangs zum Bundesgesetz vom 17. Juni 2005 über das Bundesverwaltungsgericht (VGG; SR 173.32; vgl. AS 2006 S. 2261) gelten für die Rechtsmittel an die Bundesbehörden die allgemeinen Bestimmungen über die Bundesrechtspflege. An der Zulässigkeit der Beschwerde in öffentlich-rechtlichen Angelegenheiten ändert nichts, wenn - wie hier - lediglich die Bundesverfassungsmässigkeit der Handhabung von kantonalem bzw. kommunalem Baurecht im Streit liegt.</w:t>
      </w:r>
    </w:p>
    <w:p>
      <w:r>
        <w:rPr>
          <w:b/>
        </w:rPr>
        <w:t>E. 1.2.1</w:t>
      </w:r>
    </w:p>
    <w:p>
      <w:r>
        <w:t>Die Beschwerde kann wegen Rechtsverletzung gemäss Art. 95 und Art. 96 BGG erhoben werden. Bezüglich der Überprüfung und Anwendung von kantonalem Recht sind in Art. 95 BGG gewisse Teilbereiche aufgeführt, so kantonale verfassungsmässige Rechte (lit. c), kantonale Bestimmungen über die politische Stimmberechtigung sowie über Volkswahlen und -abstimmungen (lit. d) und interkantonales Recht (lit. e). Ausserhalb des Anwendungsbereichs von Art. 95 lit. c bis lit. e BGG bleibt die Kognition des Bundesgerichts bezüglich des kantonalen und kommunalen Rechts unter dem Bundesgerichtsgesetz im Vergleich zum früheren Recht unverändert. Diesbezüglich bildet die Verletzung kantonaler bzw. kommunaler BGE 133 II 249 S. 252 Bestimmungen nur dann einen zulässigen Beschwerdegrund, wenn eine derartige Rechtsverletzung einen Verstoss gegen Bundesrecht im Sinne von Art. 95 lit. a BGG - so das Raumplanungs- und Umweltschutzrecht des Bundes usw., ferner auf Verfassungsstufe beispielsweise das Willkürverbot ( Art. 9 BV ) - oder gegen Völkerrecht im Sinne von Art. 95 lit. b BGG zur Folge hat (vgl. die Botschaft vom 28. Februar 2001 zur Totalrevision der Bundesrechtspflege, BBl 2001 S. 4202 ff., 4335).</w:t>
      </w:r>
    </w:p>
    <w:p>
      <w:r>
        <w:rPr>
          <w:b/>
        </w:rPr>
        <w:t>E. 1.2.2</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(vgl. die Botschaft, BBl 2001 S. 4338).</w:t>
      </w:r>
    </w:p>
    <w:p>
      <w:r>
        <w:rPr>
          <w:b/>
        </w:rPr>
        <w:t>E. 1.3</w:t>
      </w:r>
    </w:p>
    <w:p>
      <w:r>
        <w:t>In Art. 89 Abs. 1 BGG sind mit Blick auf die Legitimation zur Beschwerde in öffentlich-rechtlichen Angelegenheiten kumulativ drei Anforderungen verankert. Der Beschwerdeführer muss vor der Vorinstanz am Verfahren teilgenommen oder dazu keine Möglichkeit erhalten haben (lit. a). Er muss durch den angefochtenen Entscheid oder Erlass besonders berührt sein (lit. b) und ein schutzwürdiges Interesse an dessen Aufhebung oder Änderung haben (lit. c).</w:t>
      </w:r>
    </w:p>
    <w:p>
      <w:r>
        <w:rPr>
          <w:b/>
        </w:rPr>
        <w:t>E. 1.3.1</w:t>
      </w:r>
    </w:p>
    <w:p>
      <w:r>
        <w:t>Die Kriterien von Art. 89 Abs. 1 BGG grenzen die Beschwerdelegitimation von Nachbarn gegen unzulässige Popularbeschwerden ab. Verlangt ist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die Botschaft, BBl 2001 S. 4236). Die Voraussetzungen von Art. 89 Abs. 1 lit. b und lit. c BGG hängen BGE 133 II 249 S. 253 eng zusammen; insgesamt kann insoweit an die Grundsätze, die zur Legitimationspraxis bei der Verwaltungsgerichtsbeschwerde nach Art. 103 lit. a des früheren Bundesgesetzes vom 16. Dezember 1943 über die Organisation der Bundesrechtspflege (OG; BS 3 S. 531) entwickelt worden sind (vgl. BGE 120 Ib 48 E. 2a S. 51 f., BGE 120 Ib 379 E. 4b S. 386 f.), angeknüpft werden.</w:t>
      </w:r>
    </w:p>
    <w:p>
      <w:r>
        <w:rPr>
          <w:b/>
        </w:rPr>
        <w:t>E. 1.3.2</w:t>
      </w:r>
    </w:p>
    <w:p>
      <w:r>
        <w:t>Bei der Beschwerde in öffentlich-rechtlichen Angelegenheiten ist nicht erforderlich, dass das angeblich willkürlich angewendete kantonale oder kommunale Gesetzesrecht dem Beschwerdeführer einen Rechtsanspruch bzw. ein rechtlich geschütztes Interesse vermittelt. In diesem Punkt unterscheiden sich die hier zulässigen Beschwerdegründe von denjenigen bei der subsidiären Verfassungsbeschwerde (vgl. zur Zulässigkeit der Willkürrüge beim letztgenannten Rechtsmittel, BGE 133 I 185 E. 6.1 und 6.3 S. 197 ff.). Aus dem Legitimationskriterium des schutzwürdigen Interesses gemäss Art. 89 Abs. 1 lit. c BGG (vgl. E. 1.3.1, hiervor) ist jedoch abzuleiten, dass der Beschwerdeführer nur die Überprüfung des Bauvorhabens im Lichte jener Rechtssätze verlangen kann, die sich rechtlich oder tatsächlich auf seine Stellung auswirken. Dieses Erfordernis trifft beispielsweise nicht zu bei Normen über die innere Ausgestaltung der Baute auf dem Nachbargrundstück, die keinerlei Auswirkungen auf die Situation des Beschwerdeführers haben (vgl. das Votum von Bundesrat Blocher in der ständerätlichen Beratung vom 8. März 2005, AB 2005 S 135 f.). Beschwerdegründe Privater, mit denen ein bloss allgemeines öffentliches Interesse an der richtigen Anwendung des Rechts verfolgt wird, ohne dass dem Beschwerdeführer im Falle des Obsiegens ein praktischer Nutzen entsteht, sind bei der Beschwerde in öffentlich-rechtlichen Angelegenheiten unzulässig. In jedem Fall kann aber der Beschwerdeführer - wie bei der subsidiären Verfassungsbeschwerde (vgl. BGE 133 I 185 E. 6.2 S. 198 ff.) - die Verletzung von Parteirechten rügen, deren Missachtung auf eine formelle Rechtsverweigerung hinausläuft.</w:t>
      </w:r>
    </w:p>
    <w:p>
      <w:r>
        <w:rPr>
          <w:b/>
        </w:rPr>
        <w:t>E. 1.3.3</w:t>
      </w:r>
    </w:p>
    <w:p>
      <w:r>
        <w:t>Vorliegend hat der Beschwerdeführer vor der Vorinstanz am Verfahren teilgenommen ( Art. 89 Abs. 1 lit. a BGG ). Er ist als Eigentümer der an das Baugrundstück angrenzenden Parzelle Nr. 2647, GB Ebikon, durch den angefochtenen Entscheid besonders berührt ( Art. 89 Abs. 1 lit. b BGG ). Der Beschwerdeführer bringt Gehörsrügen vor; dazu ist er ohne Weiteres befugt. In der Sache wendet er sich gegen die Höhe der geplanten Baute und den Umfang der baulichen Ausnutzung auf dem Nachbargrundstück. Insofern macht er BGE 133 II 249 S. 254 eine willkürliche Anwendung kantonalen Rechts und eine Verletzung des Gleichbehandlungsgebots, verbunden mit einer Sachverhaltsrüge, geltend. Der mit diesen Vorbringen beanstandete Umfang der baulichen Ausnutzung beim fraglichen Bauprojekt wirkt sich in erheblichem Masse auf die Nutzung der Liegenschaft des Beschwerdeführers aus. Insofern betrifft der angefochtene Entscheid den Beschwerdeführer in schutzwürdigen eigenen Interessen ( Art. 89 Abs. 1 lit. c BGG ). Dieser ist somit zur Beschwerde befugt.</w:t>
      </w:r>
    </w:p>
    <w:p>
      <w:r>
        <w:rPr>
          <w:b/>
        </w:rPr>
        <w:t>E. 1.4</w:t>
      </w:r>
    </w:p>
    <w:p>
      <w:r>
        <w:t>Das Eintreten auf zulässige Beschwerdegründe hängt weiter vom Erfüllen der Anforderungen an die Begründung der einzelnen Rügen ab.</w:t>
      </w:r>
    </w:p>
    <w:p>
      <w:r>
        <w:rPr>
          <w:b/>
        </w:rPr>
        <w:t>E. 1.4.1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BGE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w:t>
      </w:r>
    </w:p>
    <w:p>
      <w:r>
        <w:rPr>
          <w:b/>
        </w:rPr>
        <w:t>E. 1.4.2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OG (vgl. dazu BGE 130 I 258 E. 1.3 S. 261 f.; BGE 129 I 113 E. 2.1 S. 120) weiterzuführen (vgl. die Botschaft, BBl 2001 S. 4344).</w:t>
      </w:r>
    </w:p>
    <w:p>
      <w:r>
        <w:rPr>
          <w:b/>
        </w:rPr>
        <w:t>E. 1.4.3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BGE 133 II 249 S. 255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(vgl. dazu E. 1.4.2, hiervor).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(vgl. BGE 130 III 136 E. 1.4 S. 140). Vorbehalten bleiben offensichtliche Sachverhaltsmängel im Sinne von Art. 105 Abs. 2 BGG , die dem Richter geradezu in die Augen springen.</w:t>
      </w:r>
    </w:p>
    <w:p>
      <w:r>
        <w:rPr>
          <w:b/>
        </w:rPr>
        <w:t>E. 1.4.4</w:t>
      </w:r>
    </w:p>
    <w:p>
      <w:r>
        <w:t>Im vorliegenden Fall stehen mehrere Verfassungsrügen und eine Sachverhaltsrüge zur Diskussion. Es wird, soweit erforderlich, im entsprechenden Sachzusammenhang darzulegen sein, inwiefern die Anforderungen an die Rügepflicht hier nicht eingehalten sind.</w:t>
      </w:r>
    </w:p>
    <w:p>
      <w:r>
        <w:rPr>
          <w:b/>
        </w:rPr>
        <w:t>E. 1.5</w:t>
      </w:r>
    </w:p>
    <w:p>
      <w:r>
        <w:t>Da auch die übrigen Sachurteilsvoraussetzungen erfüllt sind, ist auf die Beschwerde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